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line="252" w:lineRule="exact" w:before="77"/>
        <w:ind w:left="100" w:right="0" w:firstLine="0"/>
        <w:jc w:val="left"/>
        <w:rPr>
          <w:rFonts w:ascii="Arial"/>
          <w:i/>
          <w:sz w:val="22"/>
        </w:rPr>
      </w:pPr>
      <w:r>
        <w:rPr>
          <w:rFonts w:ascii="Arial"/>
          <w:i/>
          <w:sz w:val="22"/>
        </w:rPr>
        <w:t>San Francisco Tobacco-Free Project: Final Evaluation Report</w:t>
      </w:r>
    </w:p>
    <w:p>
      <w:pPr>
        <w:spacing w:line="252" w:lineRule="exact" w:before="0"/>
        <w:ind w:left="100" w:right="0" w:firstLine="0"/>
        <w:jc w:val="left"/>
        <w:rPr>
          <w:rFonts w:ascii="Arial"/>
          <w:i/>
          <w:sz w:val="22"/>
        </w:rPr>
      </w:pPr>
      <w:r>
        <w:rPr>
          <w:rFonts w:ascii="Arial"/>
          <w:i/>
          <w:sz w:val="22"/>
        </w:rPr>
        <w:t>Building a Healthier, Smoke-Free Retail Environment in San Francisco</w:t>
      </w:r>
    </w:p>
    <w:p>
      <w:pPr>
        <w:pStyle w:val="BodyText"/>
        <w:spacing w:before="9"/>
        <w:rPr>
          <w:rFonts w:ascii="Arial"/>
          <w:i/>
          <w:sz w:val="18"/>
        </w:rPr>
      </w:pPr>
    </w:p>
    <w:p>
      <w:pPr>
        <w:spacing w:before="0"/>
        <w:ind w:left="100" w:right="0" w:firstLine="0"/>
        <w:jc w:val="left"/>
        <w:rPr>
          <w:rFonts w:ascii="Tw Cen MT"/>
          <w:b/>
          <w:sz w:val="21"/>
        </w:rPr>
      </w:pPr>
      <w:r>
        <w:rPr>
          <w:rFonts w:ascii="Tw Cen MT"/>
          <w:b/>
          <w:color w:val="B6AC52"/>
          <w:sz w:val="26"/>
          <w:u w:val="single" w:color="B6AC52"/>
        </w:rPr>
        <w:t>S</w:t>
      </w:r>
      <w:r>
        <w:rPr>
          <w:rFonts w:ascii="Tw Cen MT"/>
          <w:b/>
          <w:color w:val="B6AC52"/>
          <w:sz w:val="21"/>
          <w:u w:val="single" w:color="B6AC52"/>
        </w:rPr>
        <w:t>ECTION </w:t>
      </w:r>
      <w:r>
        <w:rPr>
          <w:rFonts w:ascii="Tw Cen MT"/>
          <w:b/>
          <w:color w:val="B6AC52"/>
          <w:sz w:val="26"/>
          <w:u w:val="single" w:color="B6AC52"/>
        </w:rPr>
        <w:t>3. D</w:t>
      </w:r>
      <w:r>
        <w:rPr>
          <w:rFonts w:ascii="Tw Cen MT"/>
          <w:b/>
          <w:color w:val="B6AC52"/>
          <w:sz w:val="21"/>
          <w:u w:val="single" w:color="B6AC52"/>
        </w:rPr>
        <w:t>ATA </w:t>
      </w:r>
      <w:r>
        <w:rPr>
          <w:rFonts w:ascii="Tw Cen MT"/>
          <w:b/>
          <w:color w:val="B6AC52"/>
          <w:sz w:val="26"/>
          <w:u w:val="single" w:color="B6AC52"/>
        </w:rPr>
        <w:t>C</w:t>
      </w:r>
      <w:r>
        <w:rPr>
          <w:rFonts w:ascii="Tw Cen MT"/>
          <w:b/>
          <w:color w:val="B6AC52"/>
          <w:sz w:val="21"/>
          <w:u w:val="single" w:color="B6AC52"/>
        </w:rPr>
        <w:t>OLLECTION </w:t>
      </w:r>
      <w:r>
        <w:rPr>
          <w:rFonts w:ascii="Tw Cen MT"/>
          <w:b/>
          <w:color w:val="B6AC52"/>
          <w:sz w:val="26"/>
          <w:u w:val="single" w:color="B6AC52"/>
        </w:rPr>
        <w:t>T</w:t>
      </w:r>
      <w:r>
        <w:rPr>
          <w:rFonts w:ascii="Tw Cen MT"/>
          <w:b/>
          <w:color w:val="B6AC52"/>
          <w:sz w:val="21"/>
          <w:u w:val="single" w:color="B6AC52"/>
        </w:rPr>
        <w:t>OOLS</w:t>
      </w:r>
    </w:p>
    <w:p>
      <w:pPr>
        <w:pStyle w:val="BodyText"/>
        <w:spacing w:before="3"/>
        <w:rPr>
          <w:rFonts w:ascii="Tw Cen MT"/>
          <w:b/>
          <w:sz w:val="17"/>
        </w:rPr>
      </w:pPr>
    </w:p>
    <w:p>
      <w:pPr>
        <w:spacing w:before="56"/>
        <w:ind w:left="100" w:right="0" w:firstLine="0"/>
        <w:jc w:val="left"/>
        <w:rPr>
          <w:b/>
          <w:sz w:val="22"/>
        </w:rPr>
      </w:pPr>
      <w:r>
        <w:rPr>
          <w:b/>
          <w:sz w:val="22"/>
        </w:rPr>
        <w:t>Key Informant Interview Questions for Density Policy</w:t>
      </w:r>
    </w:p>
    <w:p>
      <w:pPr>
        <w:pStyle w:val="BodyText"/>
        <w:spacing w:before="6"/>
        <w:rPr>
          <w:b/>
          <w:sz w:val="19"/>
        </w:rPr>
      </w:pPr>
    </w:p>
    <w:p>
      <w:pPr>
        <w:spacing w:before="0"/>
        <w:ind w:left="100" w:right="0" w:firstLine="0"/>
        <w:jc w:val="left"/>
        <w:rPr>
          <w:i/>
          <w:sz w:val="22"/>
        </w:rPr>
      </w:pPr>
      <w:r>
        <w:rPr>
          <w:i/>
          <w:sz w:val="22"/>
        </w:rPr>
        <w:t>Goal of Interviews</w:t>
      </w:r>
    </w:p>
    <w:p>
      <w:pPr>
        <w:pStyle w:val="BodyText"/>
        <w:ind w:left="100" w:right="197"/>
      </w:pPr>
      <w:r>
        <w:rPr/>
        <w:t>In December 2014, the San Francisco Board of Supervisors approved a policy that caps the number of tobacco retail licenses that are available in each supervisorial district, to reduce the overconcentration of retail stores in neighborhoods and limit the number of new stores that can sell tobacco in San Francisco. The policy went into effect on January 18, 2015. The purpose of the key informant interviews for Objective 1 is to review the adoption and implementation of the retail density ordinance. Interviews will ask stakeholders about successful strategies and challenges for the adoption of the policy, proponent and opponent views, early findings regarding its impact, and other lessons learned.</w:t>
      </w:r>
    </w:p>
    <w:p>
      <w:pPr>
        <w:pStyle w:val="BodyText"/>
      </w:pPr>
    </w:p>
    <w:p>
      <w:pPr>
        <w:spacing w:before="0"/>
        <w:ind w:left="100" w:right="0" w:firstLine="0"/>
        <w:jc w:val="left"/>
        <w:rPr>
          <w:i/>
          <w:sz w:val="22"/>
        </w:rPr>
      </w:pPr>
      <w:r>
        <w:rPr>
          <w:i/>
          <w:sz w:val="22"/>
        </w:rPr>
        <w:t>Methodology</w:t>
      </w:r>
    </w:p>
    <w:p>
      <w:pPr>
        <w:pStyle w:val="BodyText"/>
        <w:ind w:left="100" w:right="339"/>
      </w:pPr>
      <w:r>
        <w:rPr/>
        <w:t>Six individuals involved in this objective will be interviewed. San Francisco Tobacco Free Project (TFP) staff will identify stakeholders to be interviewed. These may include Tobacco Free Project coalition members, youth involved in the policy effort, members of the Board of Supervisors or their designees, and other key stakeholders in the policy adoption and implementation process.</w:t>
      </w:r>
    </w:p>
    <w:p>
      <w:pPr>
        <w:pStyle w:val="BodyText"/>
        <w:spacing w:before="11"/>
        <w:rPr>
          <w:sz w:val="21"/>
        </w:rPr>
      </w:pPr>
    </w:p>
    <w:p>
      <w:pPr>
        <w:spacing w:before="0"/>
        <w:ind w:left="100" w:right="0" w:firstLine="0"/>
        <w:jc w:val="left"/>
        <w:rPr>
          <w:i/>
          <w:sz w:val="22"/>
        </w:rPr>
      </w:pPr>
      <w:r>
        <w:rPr>
          <w:i/>
          <w:sz w:val="22"/>
          <w:u w:val="single"/>
        </w:rPr>
        <w:t>Questions for Coalition Members &amp; Youth</w:t>
      </w:r>
    </w:p>
    <w:p>
      <w:pPr>
        <w:pStyle w:val="BodyText"/>
        <w:spacing w:before="6"/>
        <w:rPr>
          <w:i/>
          <w:sz w:val="17"/>
        </w:rPr>
      </w:pPr>
    </w:p>
    <w:p>
      <w:pPr>
        <w:spacing w:before="56"/>
        <w:ind w:left="100" w:right="0" w:firstLine="0"/>
        <w:jc w:val="left"/>
        <w:rPr>
          <w:i/>
          <w:sz w:val="22"/>
        </w:rPr>
      </w:pPr>
      <w:r>
        <w:rPr>
          <w:i/>
          <w:sz w:val="22"/>
        </w:rPr>
        <w:t>Retail Density Background</w:t>
      </w:r>
    </w:p>
    <w:p>
      <w:pPr>
        <w:pStyle w:val="ListParagraph"/>
        <w:numPr>
          <w:ilvl w:val="0"/>
          <w:numId w:val="1"/>
        </w:numPr>
        <w:tabs>
          <w:tab w:pos="821" w:val="left" w:leader="none"/>
        </w:tabs>
        <w:spacing w:line="240" w:lineRule="auto" w:before="0" w:after="0"/>
        <w:ind w:left="820" w:right="860" w:hanging="360"/>
        <w:jc w:val="left"/>
        <w:rPr>
          <w:sz w:val="22"/>
        </w:rPr>
      </w:pPr>
      <w:r>
        <w:rPr>
          <w:sz w:val="22"/>
        </w:rPr>
        <w:t>Tell me about your role in working on the adoption of the retail density ordinance in San Francisco, and how long you have been working on this</w:t>
      </w:r>
      <w:r>
        <w:rPr>
          <w:spacing w:val="-14"/>
          <w:sz w:val="22"/>
        </w:rPr>
        <w:t> </w:t>
      </w:r>
      <w:r>
        <w:rPr>
          <w:sz w:val="22"/>
        </w:rPr>
        <w:t>issue.</w:t>
      </w:r>
    </w:p>
    <w:p>
      <w:pPr>
        <w:pStyle w:val="ListParagraph"/>
        <w:numPr>
          <w:ilvl w:val="0"/>
          <w:numId w:val="1"/>
        </w:numPr>
        <w:tabs>
          <w:tab w:pos="821" w:val="left" w:leader="none"/>
        </w:tabs>
        <w:spacing w:line="240" w:lineRule="auto" w:before="1" w:after="0"/>
        <w:ind w:left="820" w:right="159" w:hanging="360"/>
        <w:jc w:val="both"/>
        <w:rPr>
          <w:sz w:val="22"/>
        </w:rPr>
      </w:pPr>
      <w:r>
        <w:rPr>
          <w:sz w:val="22"/>
        </w:rPr>
        <w:t>Can you go back to the beginning of your work on the retail density policy issue and tell me how you got involved in this issue in particular? What were your/your organization’s primary reasons for supporting and getting involved in this</w:t>
      </w:r>
      <w:r>
        <w:rPr>
          <w:spacing w:val="-7"/>
          <w:sz w:val="22"/>
        </w:rPr>
        <w:t> </w:t>
      </w:r>
      <w:r>
        <w:rPr>
          <w:sz w:val="22"/>
        </w:rPr>
        <w:t>effort?</w:t>
      </w:r>
    </w:p>
    <w:p>
      <w:pPr>
        <w:pStyle w:val="ListParagraph"/>
        <w:numPr>
          <w:ilvl w:val="0"/>
          <w:numId w:val="1"/>
        </w:numPr>
        <w:tabs>
          <w:tab w:pos="821" w:val="left" w:leader="none"/>
        </w:tabs>
        <w:spacing w:line="240" w:lineRule="auto" w:before="1" w:after="0"/>
        <w:ind w:left="820" w:right="0" w:hanging="360"/>
        <w:jc w:val="left"/>
        <w:rPr>
          <w:sz w:val="22"/>
        </w:rPr>
      </w:pPr>
      <w:r>
        <w:rPr>
          <w:sz w:val="22"/>
        </w:rPr>
        <w:t>Who were your allies and what role did each</w:t>
      </w:r>
      <w:r>
        <w:rPr>
          <w:spacing w:val="-11"/>
          <w:sz w:val="22"/>
        </w:rPr>
        <w:t> </w:t>
      </w:r>
      <w:r>
        <w:rPr>
          <w:sz w:val="22"/>
        </w:rPr>
        <w:t>play?</w:t>
      </w:r>
    </w:p>
    <w:p>
      <w:pPr>
        <w:pStyle w:val="BodyText"/>
        <w:spacing w:before="10"/>
        <w:rPr>
          <w:sz w:val="21"/>
        </w:rPr>
      </w:pPr>
    </w:p>
    <w:p>
      <w:pPr>
        <w:spacing w:before="0"/>
        <w:ind w:left="100" w:right="0" w:firstLine="0"/>
        <w:jc w:val="left"/>
        <w:rPr>
          <w:i/>
          <w:sz w:val="22"/>
        </w:rPr>
      </w:pPr>
      <w:r>
        <w:rPr>
          <w:i/>
          <w:sz w:val="22"/>
        </w:rPr>
        <w:t>Successful Strategies, Challenges &amp; Lessons Learned</w:t>
      </w:r>
    </w:p>
    <w:p>
      <w:pPr>
        <w:pStyle w:val="ListParagraph"/>
        <w:numPr>
          <w:ilvl w:val="0"/>
          <w:numId w:val="1"/>
        </w:numPr>
        <w:tabs>
          <w:tab w:pos="821" w:val="left" w:leader="none"/>
        </w:tabs>
        <w:spacing w:line="240" w:lineRule="auto" w:before="0" w:after="0"/>
        <w:ind w:left="820" w:right="206" w:hanging="360"/>
        <w:jc w:val="left"/>
        <w:rPr>
          <w:sz w:val="22"/>
        </w:rPr>
      </w:pPr>
      <w:r>
        <w:rPr>
          <w:sz w:val="22"/>
        </w:rPr>
        <w:t>What specific messaging did you use to educate stakeholders about this issue? What messaging worked particularly well? (Probe: health equity</w:t>
      </w:r>
      <w:r>
        <w:rPr>
          <w:spacing w:val="-5"/>
          <w:sz w:val="22"/>
        </w:rPr>
        <w:t> </w:t>
      </w:r>
      <w:r>
        <w:rPr>
          <w:sz w:val="22"/>
        </w:rPr>
        <w:t>framing)</w:t>
      </w:r>
    </w:p>
    <w:p>
      <w:pPr>
        <w:pStyle w:val="ListParagraph"/>
        <w:numPr>
          <w:ilvl w:val="0"/>
          <w:numId w:val="1"/>
        </w:numPr>
        <w:tabs>
          <w:tab w:pos="821" w:val="left" w:leader="none"/>
        </w:tabs>
        <w:spacing w:line="240" w:lineRule="auto" w:before="1" w:after="0"/>
        <w:ind w:left="820" w:right="338" w:hanging="360"/>
        <w:jc w:val="left"/>
        <w:rPr>
          <w:sz w:val="22"/>
        </w:rPr>
      </w:pPr>
      <w:r>
        <w:rPr>
          <w:sz w:val="22"/>
        </w:rPr>
        <w:t>What strategies were particularly useful or necessary to this policy effort? Will you take any of these strategies and apply them to other policy efforts, and how? (Probe: AAGA</w:t>
      </w:r>
      <w:r>
        <w:rPr>
          <w:spacing w:val="-17"/>
          <w:sz w:val="22"/>
        </w:rPr>
        <w:t> </w:t>
      </w:r>
      <w:r>
        <w:rPr>
          <w:sz w:val="22"/>
        </w:rPr>
        <w:t>negotiations)</w:t>
      </w:r>
    </w:p>
    <w:p>
      <w:pPr>
        <w:pStyle w:val="ListParagraph"/>
        <w:numPr>
          <w:ilvl w:val="0"/>
          <w:numId w:val="1"/>
        </w:numPr>
        <w:tabs>
          <w:tab w:pos="821" w:val="left" w:leader="none"/>
        </w:tabs>
        <w:spacing w:line="240" w:lineRule="auto" w:before="0" w:after="0"/>
        <w:ind w:left="820" w:right="0" w:hanging="360"/>
        <w:jc w:val="left"/>
        <w:rPr>
          <w:sz w:val="22"/>
        </w:rPr>
      </w:pPr>
      <w:r>
        <w:rPr>
          <w:sz w:val="22"/>
        </w:rPr>
        <w:t>What were the roles and contributions of youth in this policy</w:t>
      </w:r>
      <w:r>
        <w:rPr>
          <w:spacing w:val="-12"/>
          <w:sz w:val="22"/>
        </w:rPr>
        <w:t> </w:t>
      </w:r>
      <w:r>
        <w:rPr>
          <w:sz w:val="22"/>
        </w:rPr>
        <w:t>effort?</w:t>
      </w:r>
    </w:p>
    <w:p>
      <w:pPr>
        <w:pStyle w:val="ListParagraph"/>
        <w:numPr>
          <w:ilvl w:val="0"/>
          <w:numId w:val="1"/>
        </w:numPr>
        <w:tabs>
          <w:tab w:pos="821" w:val="left" w:leader="none"/>
        </w:tabs>
        <w:spacing w:line="240" w:lineRule="auto" w:before="1" w:after="0"/>
        <w:ind w:left="820" w:right="135" w:hanging="360"/>
        <w:jc w:val="left"/>
        <w:rPr>
          <w:sz w:val="22"/>
        </w:rPr>
      </w:pPr>
      <w:r>
        <w:rPr>
          <w:sz w:val="22"/>
        </w:rPr>
        <w:t>What were the challenges that the Coalition encountered on this campaign? Who was the opposition? What concessions or negotiations were made to ease the opposition’s concerns and get the ordinance</w:t>
      </w:r>
      <w:r>
        <w:rPr>
          <w:spacing w:val="-5"/>
          <w:sz w:val="22"/>
        </w:rPr>
        <w:t> </w:t>
      </w:r>
      <w:r>
        <w:rPr>
          <w:sz w:val="22"/>
        </w:rPr>
        <w:t>passed?</w:t>
      </w:r>
    </w:p>
    <w:p>
      <w:pPr>
        <w:pStyle w:val="BodyText"/>
        <w:spacing w:before="11"/>
        <w:rPr>
          <w:sz w:val="21"/>
        </w:rPr>
      </w:pPr>
    </w:p>
    <w:p>
      <w:pPr>
        <w:spacing w:before="0"/>
        <w:ind w:left="100" w:right="0" w:firstLine="0"/>
        <w:jc w:val="left"/>
        <w:rPr>
          <w:i/>
          <w:sz w:val="22"/>
        </w:rPr>
      </w:pPr>
      <w:r>
        <w:rPr>
          <w:i/>
          <w:sz w:val="22"/>
        </w:rPr>
        <w:t>Implementation &amp; Next Steps</w:t>
      </w:r>
    </w:p>
    <w:p>
      <w:pPr>
        <w:pStyle w:val="ListParagraph"/>
        <w:numPr>
          <w:ilvl w:val="0"/>
          <w:numId w:val="1"/>
        </w:numPr>
        <w:tabs>
          <w:tab w:pos="821" w:val="left" w:leader="none"/>
        </w:tabs>
        <w:spacing w:line="240" w:lineRule="auto" w:before="0" w:after="0"/>
        <w:ind w:left="820" w:right="367" w:hanging="360"/>
        <w:jc w:val="left"/>
        <w:rPr>
          <w:sz w:val="22"/>
        </w:rPr>
      </w:pPr>
      <w:r>
        <w:rPr>
          <w:sz w:val="22"/>
        </w:rPr>
        <w:t>Now that the retail density ordinance is being implemented, what do you see as the impact of this policy? What do you hope to see change as this policy continues to be</w:t>
      </w:r>
      <w:r>
        <w:rPr>
          <w:spacing w:val="-17"/>
          <w:sz w:val="22"/>
        </w:rPr>
        <w:t> </w:t>
      </w:r>
      <w:r>
        <w:rPr>
          <w:sz w:val="22"/>
        </w:rPr>
        <w:t>implemented?</w:t>
      </w:r>
    </w:p>
    <w:p>
      <w:pPr>
        <w:pStyle w:val="ListParagraph"/>
        <w:numPr>
          <w:ilvl w:val="0"/>
          <w:numId w:val="1"/>
        </w:numPr>
        <w:tabs>
          <w:tab w:pos="821" w:val="left" w:leader="none"/>
        </w:tabs>
        <w:spacing w:line="240" w:lineRule="auto" w:before="1" w:after="0"/>
        <w:ind w:left="820" w:right="0" w:hanging="360"/>
        <w:jc w:val="left"/>
        <w:rPr>
          <w:sz w:val="22"/>
        </w:rPr>
      </w:pPr>
      <w:r>
        <w:rPr>
          <w:sz w:val="22"/>
        </w:rPr>
        <w:t>Are there any unintended consequences or challenges with implementing this</w:t>
      </w:r>
      <w:r>
        <w:rPr>
          <w:spacing w:val="-10"/>
          <w:sz w:val="22"/>
        </w:rPr>
        <w:t> </w:t>
      </w:r>
      <w:r>
        <w:rPr>
          <w:sz w:val="22"/>
        </w:rPr>
        <w:t>ordinance?</w:t>
      </w:r>
    </w:p>
    <w:p>
      <w:pPr>
        <w:pStyle w:val="ListParagraph"/>
        <w:numPr>
          <w:ilvl w:val="0"/>
          <w:numId w:val="1"/>
        </w:numPr>
        <w:tabs>
          <w:tab w:pos="821" w:val="left" w:leader="none"/>
        </w:tabs>
        <w:spacing w:line="240" w:lineRule="auto" w:before="0" w:after="0"/>
        <w:ind w:left="820" w:right="0" w:hanging="360"/>
        <w:jc w:val="left"/>
        <w:rPr>
          <w:sz w:val="22"/>
        </w:rPr>
      </w:pPr>
      <w:r>
        <w:rPr>
          <w:sz w:val="22"/>
        </w:rPr>
        <w:t>Where do you see the work on retail store policy going</w:t>
      </w:r>
      <w:r>
        <w:rPr>
          <w:spacing w:val="-16"/>
          <w:sz w:val="22"/>
        </w:rPr>
        <w:t> </w:t>
      </w:r>
      <w:r>
        <w:rPr>
          <w:sz w:val="22"/>
        </w:rPr>
        <w:t>next?</w:t>
      </w:r>
    </w:p>
    <w:p>
      <w:pPr>
        <w:pStyle w:val="ListParagraph"/>
        <w:numPr>
          <w:ilvl w:val="0"/>
          <w:numId w:val="1"/>
        </w:numPr>
        <w:tabs>
          <w:tab w:pos="821" w:val="left" w:leader="none"/>
        </w:tabs>
        <w:spacing w:line="240" w:lineRule="auto" w:before="0" w:after="0"/>
        <w:ind w:left="820" w:right="0" w:hanging="360"/>
        <w:jc w:val="left"/>
        <w:rPr>
          <w:sz w:val="22"/>
        </w:rPr>
      </w:pPr>
      <w:r>
        <w:rPr>
          <w:sz w:val="22"/>
        </w:rPr>
        <w:t>Is there any other information you would like to</w:t>
      </w:r>
      <w:r>
        <w:rPr>
          <w:spacing w:val="-9"/>
          <w:sz w:val="22"/>
        </w:rPr>
        <w:t> </w:t>
      </w:r>
      <w:r>
        <w:rPr>
          <w:sz w:val="22"/>
        </w:rPr>
        <w:t>share?</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17"/>
        </w:rPr>
      </w:pPr>
    </w:p>
    <w:p>
      <w:pPr>
        <w:spacing w:before="92"/>
        <w:ind w:left="0" w:right="113" w:firstLine="0"/>
        <w:jc w:val="right"/>
        <w:rPr>
          <w:rFonts w:ascii="Times New Roman"/>
          <w:sz w:val="18"/>
        </w:rPr>
      </w:pPr>
      <w:r>
        <w:rPr>
          <w:rFonts w:ascii="Times New Roman"/>
          <w:color w:val="622322"/>
          <w:sz w:val="18"/>
        </w:rPr>
        <w:t>34 </w:t>
      </w:r>
    </w:p>
    <w:sectPr>
      <w:type w:val="continuous"/>
      <w:pgSz w:w="12240" w:h="15840"/>
      <w:pgMar w:top="640" w:bottom="280" w:left="1340" w:right="13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Tw Cen MT">
    <w:altName w:val="Tw Cen MT"/>
    <w:charset w:val="0"/>
    <w:family w:val="swiss"/>
    <w:pitch w:val="variable"/>
  </w:font>
  <w:font w:name="Calibri">
    <w:altName w:val="Calibri"/>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820" w:hanging="360"/>
        <w:jc w:val="left"/>
      </w:pPr>
      <w:rPr>
        <w:rFonts w:hint="default" w:ascii="Calibri" w:hAnsi="Calibri" w:eastAsia="Calibri" w:cs="Calibri"/>
        <w:w w:val="100"/>
        <w:sz w:val="22"/>
        <w:szCs w:val="22"/>
      </w:rPr>
    </w:lvl>
    <w:lvl w:ilvl="1">
      <w:start w:val="0"/>
      <w:numFmt w:val="bullet"/>
      <w:lvlText w:val="•"/>
      <w:lvlJc w:val="left"/>
      <w:pPr>
        <w:ind w:left="1696" w:hanging="360"/>
      </w:pPr>
      <w:rPr>
        <w:rFonts w:hint="default"/>
      </w:rPr>
    </w:lvl>
    <w:lvl w:ilvl="2">
      <w:start w:val="0"/>
      <w:numFmt w:val="bullet"/>
      <w:lvlText w:val="•"/>
      <w:lvlJc w:val="left"/>
      <w:pPr>
        <w:ind w:left="2572" w:hanging="360"/>
      </w:pPr>
      <w:rPr>
        <w:rFonts w:hint="default"/>
      </w:rPr>
    </w:lvl>
    <w:lvl w:ilvl="3">
      <w:start w:val="0"/>
      <w:numFmt w:val="bullet"/>
      <w:lvlText w:val="•"/>
      <w:lvlJc w:val="left"/>
      <w:pPr>
        <w:ind w:left="3448" w:hanging="360"/>
      </w:pPr>
      <w:rPr>
        <w:rFonts w:hint="default"/>
      </w:rPr>
    </w:lvl>
    <w:lvl w:ilvl="4">
      <w:start w:val="0"/>
      <w:numFmt w:val="bullet"/>
      <w:lvlText w:val="•"/>
      <w:lvlJc w:val="left"/>
      <w:pPr>
        <w:ind w:left="4324" w:hanging="360"/>
      </w:pPr>
      <w:rPr>
        <w:rFonts w:hint="default"/>
      </w:rPr>
    </w:lvl>
    <w:lvl w:ilvl="5">
      <w:start w:val="0"/>
      <w:numFmt w:val="bullet"/>
      <w:lvlText w:val="•"/>
      <w:lvlJc w:val="left"/>
      <w:pPr>
        <w:ind w:left="5200" w:hanging="360"/>
      </w:pPr>
      <w:rPr>
        <w:rFonts w:hint="default"/>
      </w:rPr>
    </w:lvl>
    <w:lvl w:ilvl="6">
      <w:start w:val="0"/>
      <w:numFmt w:val="bullet"/>
      <w:lvlText w:val="•"/>
      <w:lvlJc w:val="left"/>
      <w:pPr>
        <w:ind w:left="6076" w:hanging="360"/>
      </w:pPr>
      <w:rPr>
        <w:rFonts w:hint="default"/>
      </w:rPr>
    </w:lvl>
    <w:lvl w:ilvl="7">
      <w:start w:val="0"/>
      <w:numFmt w:val="bullet"/>
      <w:lvlText w:val="•"/>
      <w:lvlJc w:val="left"/>
      <w:pPr>
        <w:ind w:left="6952" w:hanging="360"/>
      </w:pPr>
      <w:rPr>
        <w:rFonts w:hint="default"/>
      </w:rPr>
    </w:lvl>
    <w:lvl w:ilvl="8">
      <w:start w:val="0"/>
      <w:numFmt w:val="bullet"/>
      <w:lvlText w:val="•"/>
      <w:lvlJc w:val="left"/>
      <w:pPr>
        <w:ind w:left="7828"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rPr>
  </w:style>
  <w:style w:styleId="BodyText" w:type="paragraph">
    <w:name w:val="Body Text"/>
    <w:basedOn w:val="Normal"/>
    <w:uiPriority w:val="1"/>
    <w:qFormat/>
    <w:pPr/>
    <w:rPr>
      <w:rFonts w:ascii="Calibri" w:hAnsi="Calibri" w:eastAsia="Calibri" w:cs="Calibri"/>
      <w:sz w:val="22"/>
      <w:szCs w:val="22"/>
    </w:rPr>
  </w:style>
  <w:style w:styleId="ListParagraph" w:type="paragraph">
    <w:name w:val="List Paragraph"/>
    <w:basedOn w:val="Normal"/>
    <w:uiPriority w:val="1"/>
    <w:qFormat/>
    <w:pPr>
      <w:ind w:left="820" w:hanging="360"/>
    </w:pPr>
    <w:rPr>
      <w:rFonts w:ascii="Calibri" w:hAnsi="Calibri" w:eastAsia="Calibri" w:cs="Calibri"/>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Timaj Siraj</dc:creator>
  <dc:title>Bright Research Group</dc:title>
  <dcterms:created xsi:type="dcterms:W3CDTF">2018-07-18T18:43:19Z</dcterms:created>
  <dcterms:modified xsi:type="dcterms:W3CDTF">2018-07-18T18:43:19Z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2018-06-01T00:00:00Z</vt:filetime>
  </property>
  <property fmtid="{D5CDD505-2E9C-101B-9397-08002B2CF9AE}" pid="3" name="Creator">
    <vt:lpwstr>Microsoft® Word 2013</vt:lpwstr>
  </property>
  <property fmtid="{D5CDD505-2E9C-101B-9397-08002B2CF9AE}" pid="4" name="LastSaved">
    <vt:filetime>2018-07-18T00:00:00Z</vt:filetime>
  </property>
</Properties>
</file>